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60"/>
        <w:gridCol w:w="1888"/>
        <w:gridCol w:w="5968"/>
        <w:gridCol w:w="1989"/>
      </w:tblGrid>
      <w:tr>
        <w:trPr/>
        <w:tc>
          <w:tcPr>
            <w:tcW w:w="2248"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68"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89"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69"/>
            </w:tblGrid>
            <w:tr>
              <w:trPr/>
              <w:tc>
                <w:tcPr>
                  <w:tcW w:w="1869"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5"/>
                    <w:gridCol w:w="668"/>
                  </w:tblGrid>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3"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69"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60"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p>
        </w:tc>
        <w:tc>
          <w:tcPr>
            <w:tcW w:w="1888"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68" w:type="dxa"/>
            <w:vMerge w:val="continue"/>
            <w:tcBorders/>
            <w:vAlign w:val="center"/>
          </w:tcPr>
          <w:p>
            <w:pPr>
              <w:pStyle w:val="Normal"/>
              <w:bidi w:val="0"/>
              <w:jc w:val="left"/>
              <w:rPr/>
            </w:pPr>
            <w:r>
              <w:rPr/>
            </w:r>
          </w:p>
        </w:tc>
        <w:tc>
          <w:tcPr>
            <w:tcW w:w="1989" w:type="dxa"/>
            <w:vMerge w:val="continue"/>
            <w:tcBorders/>
          </w:tcPr>
          <w:p>
            <w:pPr>
              <w:pStyle w:val="Normal"/>
              <w:bidi w:val="0"/>
              <w:jc w:val="left"/>
              <w:rPr/>
            </w:pPr>
            <w:r>
              <w:rPr/>
            </w:r>
          </w:p>
        </w:tc>
      </w:tr>
    </w:tbl>
    <w:tbl>
      <w:tblPr>
        <w:tblW w:w="5000" w:type="pct"/>
        <w:jc w:val="left"/>
        <w:tblInd w:w="-7" w:type="dxa"/>
        <w:tblLayout w:type="fixed"/>
        <w:tblCellMar>
          <w:top w:w="60" w:type="dxa"/>
          <w:left w:w="60" w:type="dxa"/>
          <w:bottom w:w="60" w:type="dxa"/>
          <w:right w:w="60" w:type="dxa"/>
        </w:tblCellMar>
      </w:tblPr>
      <w:tblGrid>
        <w:gridCol w:w="3551"/>
        <w:gridCol w:w="3552"/>
        <w:gridCol w:w="2942"/>
        <w:gridCol w:w="160"/>
      </w:tblGrid>
      <w:tr>
        <w:trPr/>
        <w:tc>
          <w:tcPr>
            <w:tcW w:w="355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pPr>
                  <w:hyperlink r:id="rId3">
                    <w:r>
                      <w:rPr>
                        <w:rStyle w:val="InternetLink"/>
                      </w:rPr>
                      <w:t>SAYLOR MICHAEL J</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52"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4">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2942"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23"/>
              <w:gridCol w:w="988"/>
              <w:gridCol w:w="423"/>
              <w:gridCol w:w="988"/>
            </w:tblGrid>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23" w:type="dxa"/>
                  <w:tcBorders/>
                  <w:vAlign w:val="center"/>
                </w:tcPr>
                <w:p>
                  <w:pPr>
                    <w:pStyle w:val="TableContents"/>
                    <w:bidi w:val="0"/>
                    <w:spacing w:before="0" w:after="283"/>
                    <w:jc w:val="left"/>
                    <w:rPr>
                      <w:sz w:val="4"/>
                      <w:szCs w:val="4"/>
                    </w:rPr>
                  </w:pPr>
                  <w:r>
                    <w:rPr>
                      <w:sz w:val="4"/>
                      <w:szCs w:val="4"/>
                    </w:rPr>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822"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Executive Chairman</w:t>
                  </w:r>
                </w:p>
              </w:tc>
            </w:tr>
          </w:tbl>
          <w:p>
            <w:pPr>
              <w:pStyle w:val="TableContents"/>
              <w:bidi w:val="0"/>
              <w:spacing w:before="0" w:after="283"/>
              <w:jc w:val="left"/>
              <w:rPr>
                <w:sz w:val="4"/>
                <w:szCs w:val="4"/>
              </w:rPr>
            </w:pPr>
            <w:r>
              <w:rPr>
                <w:sz w:val="4"/>
                <w:szCs w:val="4"/>
              </w:rPr>
            </w:r>
          </w:p>
        </w:tc>
        <w:tc>
          <w:tcPr>
            <w:tcW w:w="160"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04/24/2024</w:t>
            </w:r>
            <w:r>
              <w:rPr/>
              <w:t xml:space="preserve"> </w:t>
            </w:r>
          </w:p>
        </w:tc>
        <w:tc>
          <w:tcPr>
            <w:tcW w:w="294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2942" w:type="dxa"/>
            <w:tcBorders>
              <w:left w:val="single" w:sz="2"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22"/>
              <w:gridCol w:w="2400"/>
            </w:tblGrid>
            <w:tr>
              <w:trPr/>
              <w:tc>
                <w:tcPr>
                  <w:tcW w:w="422"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22" w:type="dxa"/>
                  <w:tcBorders/>
                  <w:vAlign w:val="center"/>
                </w:tcPr>
                <w:p>
                  <w:pPr>
                    <w:pStyle w:val="TableContents"/>
                    <w:bidi w:val="0"/>
                    <w:spacing w:before="0" w:after="283"/>
                    <w:jc w:val="left"/>
                    <w:rPr>
                      <w:sz w:val="4"/>
                      <w:szCs w:val="4"/>
                    </w:rPr>
                  </w:pPr>
                  <w:r>
                    <w:rPr>
                      <w:sz w:val="4"/>
                      <w:szCs w:val="4"/>
                    </w:rPr>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6654" w:type="dxa"/>
            <w:gridSpan w:val="3"/>
            <w:tcBorders>
              <w:left w:val="single" w:sz="2" w:space="0" w:color="808080"/>
              <w:bottom w:val="single" w:sz="6" w:space="0" w:color="808080"/>
              <w:right w:val="single" w:sz="6" w:space="0" w:color="808080"/>
            </w:tcBorders>
          </w:tcPr>
          <w:tbl>
            <w:tblPr>
              <w:tblW w:w="5000" w:type="pct"/>
              <w:jc w:val="left"/>
              <w:tblInd w:w="0" w:type="dxa"/>
              <w:tblLayout w:type="fixed"/>
              <w:tblCellMar>
                <w:top w:w="0" w:type="dxa"/>
                <w:left w:w="0" w:type="dxa"/>
                <w:bottom w:w="0" w:type="dxa"/>
                <w:right w:w="0" w:type="dxa"/>
              </w:tblCellMar>
            </w:tblPr>
            <w:tblGrid>
              <w:gridCol w:w="6534"/>
            </w:tblGrid>
            <w:tr>
              <w:trPr/>
              <w:tc>
                <w:tcPr>
                  <w:tcW w:w="6534" w:type="dxa"/>
                  <w:tcBorders/>
                  <w:vAlign w:val="center"/>
                </w:tcPr>
                <w:p>
                  <w:pPr>
                    <w:pStyle w:val="TableContents"/>
                    <w:bidi w:val="0"/>
                    <w:spacing w:before="0" w:after="283"/>
                    <w:jc w:val="left"/>
                    <w:rPr/>
                  </w:pPr>
                  <w:r>
                    <w:rPr/>
                    <w:t>Rule 10b5-1(c) Transaction Indication</w:t>
                  </w:r>
                </w:p>
              </w:tc>
            </w:tr>
          </w:tbl>
          <w:p>
            <w:pPr>
              <w:pStyle w:val="TableContents"/>
              <w:bidi w:val="0"/>
              <w:spacing w:before="0" w:after="0"/>
              <w:jc w:val="left"/>
              <w:rPr/>
            </w:pPr>
            <w:r>
              <w:rPr/>
            </w:r>
          </w:p>
          <w:tbl>
            <w:tblPr>
              <w:tblW w:w="5000" w:type="pct"/>
              <w:jc w:val="left"/>
              <w:tblInd w:w="0" w:type="dxa"/>
              <w:tblLayout w:type="fixed"/>
              <w:tblCellMar>
                <w:top w:w="0" w:type="dxa"/>
                <w:left w:w="0" w:type="dxa"/>
                <w:bottom w:w="0" w:type="dxa"/>
                <w:right w:w="0" w:type="dxa"/>
              </w:tblCellMar>
            </w:tblPr>
            <w:tblGrid>
              <w:gridCol w:w="231"/>
              <w:gridCol w:w="6303"/>
            </w:tblGrid>
            <w:tr>
              <w:trPr/>
              <w:tc>
                <w:tcPr>
                  <w:tcW w:w="231" w:type="dxa"/>
                  <w:tcBorders/>
                  <w:vAlign w:val="center"/>
                </w:tcPr>
                <w:tbl>
                  <w:tblPr>
                    <w:tblW w:w="346" w:type="dxa"/>
                    <w:jc w:val="left"/>
                    <w:tblInd w:w="0" w:type="dxa"/>
                    <w:tblLayout w:type="fixed"/>
                    <w:tblCellMar>
                      <w:top w:w="28" w:type="dxa"/>
                      <w:left w:w="28" w:type="dxa"/>
                      <w:bottom w:w="28" w:type="dxa"/>
                      <w:right w:w="28" w:type="dxa"/>
                    </w:tblCellMar>
                  </w:tblPr>
                  <w:tblGrid>
                    <w:gridCol w:w="346"/>
                  </w:tblGrid>
                  <w:tr>
                    <w:trPr/>
                    <w:tc>
                      <w:tcPr>
                        <w:tcW w:w="346" w:type="dxa"/>
                        <w:tcBorders>
                          <w:top w:val="single" w:sz="2" w:space="0" w:color="000000"/>
                          <w:left w:val="single" w:sz="2" w:space="0" w:color="000000"/>
                          <w:bottom w:val="single" w:sz="2" w:space="0" w:color="000000"/>
                          <w:right w:val="single" w:sz="2" w:space="0" w:color="00000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X</w:t>
                        </w:r>
                      </w:p>
                    </w:tc>
                  </w:tr>
                </w:tbl>
                <w:p>
                  <w:pPr>
                    <w:pStyle w:val="TableContents"/>
                    <w:bidi w:val="0"/>
                    <w:spacing w:before="0" w:after="283"/>
                    <w:jc w:val="left"/>
                    <w:rPr>
                      <w:sz w:val="4"/>
                      <w:szCs w:val="4"/>
                    </w:rPr>
                  </w:pPr>
                  <w:r>
                    <w:rPr>
                      <w:sz w:val="4"/>
                      <w:szCs w:val="4"/>
                    </w:rPr>
                  </w:r>
                </w:p>
              </w:tc>
              <w:tc>
                <w:tcPr>
                  <w:tcW w:w="6303"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that is intended to satisfy the affirmative defense conditions of Rule 10b5-1(c). See Instruction 10.</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149"/>
        <w:gridCol w:w="925"/>
        <w:gridCol w:w="793"/>
        <w:gridCol w:w="614"/>
        <w:gridCol w:w="347"/>
        <w:gridCol w:w="833"/>
        <w:gridCol w:w="437"/>
        <w:gridCol w:w="1043"/>
        <w:gridCol w:w="1145"/>
        <w:gridCol w:w="988"/>
        <w:gridCol w:w="931"/>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149"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2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93"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6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313"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4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88"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149"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2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93"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614"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83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37"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104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45"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88"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1"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M</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A</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121.43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361</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1,265.11</w:t>
            </w:r>
            <w:r>
              <w:rPr>
                <w:rFonts w:ascii="Times;serif" w:hAnsi="Times;serif"/>
                <w:color w:val="008000"/>
                <w:position w:val="7"/>
                <w:sz w:val="16"/>
                <w:sz w:val="20"/>
                <w:shd w:fill="FFFFFF" w:val="clear"/>
              </w:rPr>
              <w:t>(2)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4,639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1,268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1,270.95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4,339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1,272.36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4,239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1,273.34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1,275.97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3,839</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34</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1,278.99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3,805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1,279.32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3,705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1,280.39</w:t>
            </w:r>
            <w:r>
              <w:rPr>
                <w:rFonts w:ascii="Times;serif" w:hAnsi="Times;serif"/>
                <w:color w:val="008000"/>
                <w:position w:val="7"/>
                <w:sz w:val="16"/>
                <w:sz w:val="20"/>
                <w:shd w:fill="FFFFFF" w:val="clear"/>
              </w:rPr>
              <w:t>(3)</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3,405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1,282.39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3,208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1,283</w:t>
            </w:r>
            <w:r>
              <w:rPr>
                <w:rFonts w:ascii="Times;serif" w:hAnsi="Times;serif"/>
                <w:color w:val="008000"/>
                <w:position w:val="7"/>
                <w:sz w:val="16"/>
                <w:sz w:val="20"/>
                <w:shd w:fill="FFFFFF" w:val="clear"/>
              </w:rPr>
              <w:t>(4)</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2,808</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1,284.79</w:t>
            </w:r>
            <w:r>
              <w:rPr>
                <w:rFonts w:ascii="Times;serif" w:hAnsi="Times;serif"/>
                <w:color w:val="008000"/>
                <w:position w:val="7"/>
                <w:sz w:val="16"/>
                <w:sz w:val="20"/>
                <w:shd w:fill="FFFFFF" w:val="clear"/>
              </w:rPr>
              <w:t>(5)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2,611</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1,285</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2,511</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1,286.01</w:t>
            </w:r>
            <w:r>
              <w:rPr>
                <w:rFonts w:ascii="Times;serif" w:hAnsi="Times;serif"/>
                <w:color w:val="008000"/>
                <w:position w:val="7"/>
                <w:sz w:val="16"/>
                <w:sz w:val="20"/>
                <w:shd w:fill="FFFFFF" w:val="clear"/>
              </w:rPr>
              <w:t>(6)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2,311</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1,289.05</w:t>
            </w:r>
            <w:r>
              <w:rPr>
                <w:rFonts w:ascii="Times;serif" w:hAnsi="Times;serif"/>
                <w:color w:val="008000"/>
                <w:position w:val="7"/>
                <w:sz w:val="16"/>
                <w:sz w:val="20"/>
                <w:shd w:fill="FFFFFF" w:val="clear"/>
              </w:rPr>
              <w:t>(7)</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2,011</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199</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1,293.5</w:t>
            </w:r>
            <w:r>
              <w:rPr>
                <w:rFonts w:ascii="Times;serif" w:hAnsi="Times;serif"/>
                <w:color w:val="008000"/>
                <w:position w:val="7"/>
                <w:sz w:val="16"/>
                <w:sz w:val="20"/>
                <w:shd w:fill="FFFFFF" w:val="clear"/>
              </w:rPr>
              <w:t>(8)</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1,812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1,296.96</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1,712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1,314.96</w:t>
            </w:r>
            <w:r>
              <w:rPr>
                <w:rFonts w:ascii="Times;serif" w:hAnsi="Times;serif"/>
                <w:color w:val="008000"/>
                <w:position w:val="7"/>
                <w:sz w:val="16"/>
                <w:sz w:val="20"/>
                <w:shd w:fill="FFFFFF" w:val="clear"/>
              </w:rPr>
              <w:t>(9)</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1,412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1,315.22</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1,212</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37</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1,327.01</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1,175</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775</w:t>
            </w:r>
          </w:p>
        </w:tc>
        <w:tc>
          <w:tcPr>
            <w:tcW w:w="437"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1,329.84</w:t>
            </w:r>
            <w:r>
              <w:rPr>
                <w:rFonts w:ascii="Times;serif" w:hAnsi="Times;serif"/>
                <w:color w:val="008000"/>
                <w:position w:val="7"/>
                <w:sz w:val="16"/>
                <w:sz w:val="20"/>
                <w:shd w:fill="FFFFFF" w:val="clear"/>
              </w:rPr>
              <w:t>(10)</w:t>
            </w:r>
            <w:r>
              <w:rPr/>
              <w:t xml:space="preserve"> </w:t>
            </w:r>
          </w:p>
        </w:tc>
        <w:tc>
          <w:tcPr>
            <w:tcW w:w="1145"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988"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49"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04/24/2024</w:t>
            </w:r>
          </w:p>
        </w:tc>
        <w:tc>
          <w:tcPr>
            <w:tcW w:w="79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4"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7"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833"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400</w:t>
            </w:r>
          </w:p>
        </w:tc>
        <w:tc>
          <w:tcPr>
            <w:tcW w:w="437"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3"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1,333.62</w:t>
            </w:r>
            <w:r>
              <w:rPr/>
              <w:t xml:space="preserve"> </w:t>
            </w:r>
          </w:p>
        </w:tc>
        <w:tc>
          <w:tcPr>
            <w:tcW w:w="1145"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w:t>
            </w:r>
          </w:p>
        </w:tc>
        <w:tc>
          <w:tcPr>
            <w:tcW w:w="988"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2419" w:type="dxa"/>
        <w:jc w:val="left"/>
        <w:tblInd w:w="-7" w:type="dxa"/>
        <w:tblLayout w:type="fixed"/>
        <w:tblCellMar>
          <w:top w:w="60" w:type="dxa"/>
          <w:left w:w="60" w:type="dxa"/>
          <w:bottom w:w="60" w:type="dxa"/>
          <w:right w:w="60" w:type="dxa"/>
        </w:tblCellMar>
      </w:tblPr>
      <w:tblGrid>
        <w:gridCol w:w="980"/>
        <w:gridCol w:w="861"/>
        <w:gridCol w:w="891"/>
        <w:gridCol w:w="771"/>
        <w:gridCol w:w="591"/>
        <w:gridCol w:w="300"/>
        <w:gridCol w:w="276"/>
        <w:gridCol w:w="606"/>
        <w:gridCol w:w="906"/>
        <w:gridCol w:w="801"/>
        <w:gridCol w:w="891"/>
        <w:gridCol w:w="1101"/>
        <w:gridCol w:w="801"/>
        <w:gridCol w:w="966"/>
        <w:gridCol w:w="831"/>
        <w:gridCol w:w="846"/>
      </w:tblGrid>
      <w:tr>
        <w:trPr>
          <w:tblHeader w:val="true"/>
        </w:trPr>
        <w:tc>
          <w:tcPr>
            <w:tcW w:w="12419"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980"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88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99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6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980"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5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27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6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89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1101" w:type="dxa"/>
            <w:tcBorders>
              <w:left w:val="single" w:sz="2" w:space="0" w:color="808080"/>
              <w:bottom w:val="single" w:sz="2"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66"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980"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Employee Stock Option (Right to buy)</w:t>
            </w:r>
          </w:p>
        </w:tc>
        <w:tc>
          <w:tcPr>
            <w:tcW w:w="86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121.43</w:t>
            </w:r>
            <w:r>
              <w:rPr/>
              <w:t xml:space="preserve"> </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04/24/2024</w:t>
            </w:r>
          </w:p>
        </w:tc>
        <w:tc>
          <w:tcPr>
            <w:tcW w:w="77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M</w:t>
            </w:r>
          </w:p>
        </w:tc>
        <w:tc>
          <w:tcPr>
            <w:tcW w:w="300"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5,000</w:t>
            </w:r>
          </w:p>
        </w:tc>
        <w:tc>
          <w:tcPr>
            <w:tcW w:w="90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(11)</w:t>
            </w:r>
            <w:r>
              <w:rPr/>
              <w:t xml:space="preserve"> </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04/30/2024</w:t>
            </w:r>
          </w:p>
        </w:tc>
        <w:tc>
          <w:tcPr>
            <w:tcW w:w="8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5,000</w:t>
            </w:r>
          </w:p>
        </w:tc>
        <w:tc>
          <w:tcPr>
            <w:tcW w:w="80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sz w:val="14"/>
              </w:rPr>
              <w:t>$</w:t>
            </w:r>
            <w:r>
              <w:rPr>
                <w:rFonts w:ascii="Times;serif" w:hAnsi="Times;serif"/>
                <w:color w:val="0000FF"/>
                <w:sz w:val="20"/>
                <w:shd w:fill="FFFFFF" w:val="clear"/>
              </w:rPr>
              <w:t>0</w:t>
            </w:r>
            <w:r>
              <w:rPr/>
              <w:t xml:space="preserve"> </w:t>
            </w:r>
          </w:p>
        </w:tc>
        <w:tc>
          <w:tcPr>
            <w:tcW w:w="966"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5,000</w:t>
            </w:r>
          </w:p>
        </w:tc>
        <w:tc>
          <w:tcPr>
            <w:tcW w:w="83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D</w:t>
            </w:r>
          </w:p>
        </w:tc>
        <w:tc>
          <w:tcPr>
            <w:tcW w:w="846"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980"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0"/>
                <w:shd w:fill="FFFFFF" w:val="clear"/>
              </w:rPr>
            </w:pPr>
            <w:r>
              <w:rPr>
                <w:rFonts w:ascii="Times;serif" w:hAnsi="Times;serif"/>
                <w:color w:val="0000FF"/>
                <w:sz w:val="20"/>
                <w:shd w:fill="FFFFFF" w:val="clear"/>
              </w:rPr>
              <w:t>Class B Common Stock</w:t>
            </w:r>
          </w:p>
        </w:tc>
        <w:tc>
          <w:tcPr>
            <w:tcW w:w="86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8000"/>
                <w:position w:val="7"/>
                <w:sz w:val="16"/>
                <w:sz w:val="20"/>
                <w:shd w:fill="FFFFFF" w:val="clear"/>
              </w:rPr>
            </w:pPr>
            <w:r>
              <w:rPr>
                <w:rFonts w:ascii="Times;serif" w:hAnsi="Times;serif"/>
                <w:color w:val="008000"/>
                <w:position w:val="7"/>
                <w:sz w:val="16"/>
                <w:sz w:val="20"/>
                <w:shd w:fill="FFFFFF" w:val="clear"/>
              </w:rPr>
              <w:t>(12)</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7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59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300"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27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0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0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(12)</w:t>
            </w:r>
            <w:r>
              <w:rPr/>
              <w:t xml:space="preserve"> </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8000"/>
                <w:position w:val="7"/>
                <w:sz w:val="16"/>
                <w:sz w:val="20"/>
                <w:shd w:fill="FFFFFF" w:val="clear"/>
              </w:rPr>
              <w:t>(12)</w:t>
            </w:r>
            <w:r>
              <w:rPr/>
              <w:t xml:space="preserve"> </w:t>
            </w:r>
          </w:p>
        </w:tc>
        <w:tc>
          <w:tcPr>
            <w:tcW w:w="8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Class A Common Stock</w:t>
            </w:r>
          </w:p>
        </w:tc>
        <w:tc>
          <w:tcPr>
            <w:tcW w:w="110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1,961,668</w:t>
            </w:r>
          </w:p>
        </w:tc>
        <w:tc>
          <w:tcPr>
            <w:tcW w:w="80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966"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1,961,668</w:t>
            </w:r>
          </w:p>
        </w:tc>
        <w:tc>
          <w:tcPr>
            <w:tcW w:w="83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0"/>
                <w:shd w:fill="FFFFFF" w:val="clear"/>
              </w:rPr>
            </w:pPr>
            <w:r>
              <w:rPr>
                <w:rFonts w:ascii="Times;serif" w:hAnsi="Times;serif"/>
                <w:color w:val="0000FF"/>
                <w:sz w:val="20"/>
                <w:shd w:fill="FFFFFF" w:val="clear"/>
              </w:rPr>
              <w:t>I</w:t>
            </w:r>
          </w:p>
        </w:tc>
        <w:tc>
          <w:tcPr>
            <w:tcW w:w="846"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Times;serif" w:hAnsi="Times;serif"/>
                <w:color w:val="0000FF"/>
                <w:sz w:val="20"/>
                <w:shd w:fill="FFFFFF" w:val="clear"/>
              </w:rPr>
              <w:t>Shares owned by LLC</w:t>
            </w:r>
            <w:r>
              <w:rPr>
                <w:rFonts w:ascii="Times;serif" w:hAnsi="Times;serif"/>
                <w:color w:val="008000"/>
                <w:position w:val="7"/>
                <w:sz w:val="16"/>
                <w:sz w:val="20"/>
                <w:shd w:fill="FFFFFF" w:val="clear"/>
              </w:rPr>
              <w:t>(13)</w:t>
            </w:r>
            <w:r>
              <w:rPr/>
              <w:t xml:space="preserve"> </w:t>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This transaction was effected pursuant to a Rule 10b5-1 trading plan adopted by the reporting person on September 19, 2023.</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reported price is a weighted average price. These shares were sold in multiple transactions at prices ranging from $1,265.00 to $1,265.67,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The reported price is a weighted average price. These shares were sold in multiple transactions at prices ranging from $1,280.00 to $1,280.58,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4. The reported price is a weighted average price. These shares were sold in multiple transactions at prices ranging from $1,283.00 to $1,283.01,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5. The reported price is a weighted average price. These shares were sold in multiple transactions at prices ranging from $1,284.58 to $1,284.99,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6. The reported price is a weighted average price. These shares were sold in multiple transactions at prices ranging from $1,286.00 to $1,286.01,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7. The reported price is a weighted average price. These shares were sold in multiple transactions at prices ranging from $1,289.03 to $1,289.06,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8. The reported price is a weighted average price. These shares were sold in multiple transactions at prices ranging from $1,293.48 to $1,293.53,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9. The reported price is a weighted average price. These shares were sold in multiple transactions at prices ranging from $1,314.95 to $1,314.97,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10. The reported price is a weighted average price. These shares were sold in multiple transactions at prices ranging from $1,329.77 to $1,329.97,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11. The option vested in four equal installments on April 30, 2015, 2016, 2017 and 2018. The option is fully vested and exercisable.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12. Shares of Class B Common Stock are convertible immediately upon receipt into shares of Class A Common Stock on a 1-for-1 basis and have no expiration date.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13. Shares that are indicated as being "owned by LLC" are owned directly by Alcantara LLC (the "LLC"), and indirectly by Mr. Saylor as the sole member of the LLC.</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04/25/2024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insider-checkbox.png" TargetMode="External"/><Relationship Id="rId3" Type="http://schemas.openxmlformats.org/officeDocument/2006/relationships/hyperlink" Target="http://www.sec.gov/cgi-bin/browse-edgar?action=getcompany&amp;CIK=0001079782" TargetMode="External"/><Relationship Id="rId4" Type="http://schemas.openxmlformats.org/officeDocument/2006/relationships/hyperlink" Target="http://www.sec.gov/cgi-bin/browse-edgar?action=getcompany&amp;CIK=0001050446"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1576</Words>
  <Characters>8459</Characters>
  <CharactersWithSpaces>9804</CharactersWithSpaces>
  <Paragraphs>316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